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4.0" w:type="dxa"/>
        <w:jc w:val="left"/>
        <w:tblLayout w:type="fixed"/>
        <w:tblLook w:val="0000"/>
      </w:tblPr>
      <w:tblGrid>
        <w:gridCol w:w="4785"/>
        <w:gridCol w:w="723"/>
        <w:gridCol w:w="4536"/>
        <w:tblGridChange w:id="0">
          <w:tblGrid>
            <w:gridCol w:w="4785"/>
            <w:gridCol w:w="723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leader="none" w:pos="7230"/>
              </w:tabs>
              <w:spacing w:line="276" w:lineRule="auto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МИНИСТЕРСТВО </w:t>
            </w:r>
            <w:r w:rsidDel="00000000" w:rsidR="00000000" w:rsidRPr="00000000">
              <w:rPr>
                <w:b w:val="1"/>
                <w:smallCaps w:val="1"/>
                <w:sz w:val="24"/>
                <w:szCs w:val="24"/>
                <w:rtl w:val="0"/>
              </w:rPr>
              <w:t xml:space="preserve">ПРОСВЕЩЕНИЯ</w:t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РОССИЙСКОЙ ФЕДЕРАЦИИ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leader="none" w:pos="7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(МИНПРОСВЕЩЕНИЯ РОССИИ)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tabs>
                <w:tab w:val="left" w:leader="none" w:pos="7230"/>
              </w:tabs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tabs>
                <w:tab w:val="left" w:leader="none" w:pos="7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ФЕДЕРАЛЬНАЯ СЛУЖБА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7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 НАДЗОРУ В СФЕРЕ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7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ОБРАЗОВАНИЯ И НАУКИ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7230"/>
              </w:tabs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723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(РОСОБРНАДЗОР)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leader="none" w:pos="7230"/>
        </w:tabs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 Р И К А З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JournalSans" w:cs="JournalSans" w:eastAsia="JournalSans" w:hAnsi="Journal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851"/>
          <w:tab w:val="left" w:leader="none" w:pos="3119"/>
          <w:tab w:val="left" w:leader="none" w:pos="7650"/>
          <w:tab w:val="left" w:leader="none" w:pos="8821"/>
          <w:tab w:val="left" w:leader="none" w:pos="9645"/>
        </w:tabs>
        <w:spacing w:line="276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 «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  <w:tab/>
      </w:r>
      <w:r w:rsidDel="00000000" w:rsidR="00000000" w:rsidRPr="00000000">
        <w:rPr>
          <w:sz w:val="28"/>
          <w:szCs w:val="28"/>
          <w:rtl w:val="0"/>
        </w:rPr>
        <w:t xml:space="preserve">»</w:t>
      </w:r>
      <w:r w:rsidDel="00000000" w:rsidR="00000000" w:rsidRPr="00000000">
        <w:rPr>
          <w:sz w:val="28"/>
          <w:szCs w:val="28"/>
          <w:u w:val="single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 2024 г.</w:t>
        <w:tab/>
        <w:t xml:space="preserve">№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  <w:tab/>
        <w:t xml:space="preserve">/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1134"/>
        </w:tabs>
        <w:spacing w:line="276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1276"/>
        </w:tabs>
        <w:spacing w:line="276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 внесении изменений в приказы Министерства просвещения Российской Федерации и Федеральной службы по надзору в сфере образования и науки </w:t>
        <w:br w:type="textWrapping"/>
        <w:t xml:space="preserve">от 18 декабря 2023 г. № 953/2116 «Об утверждении единого расписания </w:t>
        <w:br w:type="textWrapping"/>
        <w:t xml:space="preserve">и продолжительности проведения единого государственного экзамена </w:t>
        <w:br w:type="textWrapping"/>
        <w:t xml:space="preserve">по каждому учебному предмету, требований к использованию средств обучения и воспитания при его проведении в 2024 году», от 18 декабря 2023 г. № 954/2117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 и от 18 декабря 2023 г. № 955/2118 </w:t>
        <w:br w:type="textWrapping"/>
        <w:t xml:space="preserve"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</w:t>
        <w:br w:type="textWrapping"/>
        <w:t xml:space="preserve">при его проведении в 2024 году»</w:t>
      </w:r>
    </w:p>
    <w:p w:rsidR="00000000" w:rsidDel="00000000" w:rsidP="00000000" w:rsidRDefault="00000000" w:rsidRPr="00000000" w14:paraId="00000012">
      <w:pPr>
        <w:spacing w:line="276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соответствии с частью 5 статьи 59 Федерального закона </w:t>
        <w:br w:type="textWrapping"/>
        <w:t xml:space="preserve">от 29 декабря 2012 г. № 273-ФЗ «Об образовании в Российской Федерации»,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885, п р и к а з ы в а е м: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Утвердить прилагаемые изменения, которые вносятся в приказы Министерства просвещения Российской Федерации и Федеральной службы </w:t>
        <w:br w:type="textWrapping"/>
        <w:t xml:space="preserve">по надзору в сфере образования и науки от 18 декабря 2023 г. № 953/2116 </w:t>
        <w:br w:type="textWrapping"/>
        <w:t xml:space="preserve">«Об утверждении единого расписания и продолжительности проведения единого государственного экзамена по каждому учебному предмету, требований </w:t>
        <w:br w:type="textWrapping"/>
        <w:t xml:space="preserve">к использованию средств обучения и воспитания при его проведении в 2024 году» (зарегистрирован Министерством юстиции Российской Федерации 29 декабря </w:t>
        <w:br w:type="textWrapping"/>
        <w:t xml:space="preserve">2023 г., регистрационный № 76764), от 18 декабря 2023 г. № 954/2117 </w:t>
        <w:br w:type="textWrapping"/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  <w:br w:type="textWrapping"/>
        <w:t xml:space="preserve">к использованию средств обучения и воспитания при его проведении в 2024 году» (зарегистрирован Министерством юстиции Российской Федерации 29 декабря </w:t>
        <w:br w:type="textWrapping"/>
        <w:t xml:space="preserve">2023 г., регистрационный № 76765) и от 18 декабря 2023 г. № 955/2118 </w:t>
        <w:br w:type="textWrapping"/>
        <w:t xml:space="preserve"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(зарегистрирован Министерством юстиции Российской Федерации 29 декабря </w:t>
        <w:br w:type="textWrapping"/>
        <w:t xml:space="preserve">2023 г., регистрационный № 76766).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Layout w:type="fixed"/>
        <w:tblLook w:val="0000"/>
      </w:tblPr>
      <w:tblGrid>
        <w:gridCol w:w="4786"/>
        <w:gridCol w:w="992"/>
        <w:gridCol w:w="4536"/>
        <w:tblGridChange w:id="0">
          <w:tblGrid>
            <w:gridCol w:w="4786"/>
            <w:gridCol w:w="992"/>
            <w:gridCol w:w="45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leader="none" w:pos="7230"/>
              </w:tabs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Министр просвещения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7230"/>
              </w:tabs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Российской Федерации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7230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7230"/>
              </w:tabs>
              <w:jc w:val="center"/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7230"/>
              </w:tabs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7230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7230"/>
              </w:tabs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С.С. Кравцов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leader="none" w:pos="723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leader="none" w:pos="7230"/>
              </w:tabs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Руководитель Федеральной службы по надзору в сфере образования </w:t>
              <w:br w:type="textWrapping"/>
              <w:t xml:space="preserve">и науки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tabs>
                <w:tab w:val="left" w:leader="none" w:pos="7230"/>
              </w:tabs>
              <w:jc w:val="righ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tabs>
                <w:tab w:val="left" w:leader="none" w:pos="7230"/>
              </w:tabs>
              <w:jc w:val="righ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leader="none" w:pos="7230"/>
              </w:tabs>
              <w:rPr/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А.А. Музаев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276" w:lineRule="auto"/>
        <w:rPr/>
        <w:sectPr>
          <w:headerReference r:id="rId6" w:type="default"/>
          <w:headerReference r:id="rId7" w:type="first"/>
          <w:pgSz w:h="16838" w:w="11906" w:orient="portrait"/>
          <w:pgMar w:bottom="1134" w:top="1134" w:left="1134" w:right="567" w:header="720" w:footer="56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left="5387" w:firstLine="0"/>
        <w:jc w:val="center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УТВЕРЖДЕНЫ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ind w:left="5387" w:firstLine="0"/>
        <w:jc w:val="center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приказом Министерства просвещения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ind w:left="5387" w:firstLine="0"/>
        <w:jc w:val="center"/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Российской Федерации и Федеральной службы по надзору в сфере образования и науки</w:t>
        <w:br w:type="textWrapping"/>
        <w:t xml:space="preserve">от «___» ____________ 2024 г. №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Изменения,</w:t>
      </w:r>
    </w:p>
    <w:p w:rsidR="00000000" w:rsidDel="00000000" w:rsidP="00000000" w:rsidRDefault="00000000" w:rsidRPr="00000000" w14:paraId="0000002D">
      <w:pPr>
        <w:spacing w:line="276" w:lineRule="auto"/>
        <w:ind w:firstLine="709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которые вносятся в приказы Министерства просвещения Российской Федерации и Федеральной службы по надзору в сфере образования и науки </w:t>
        <w:br w:type="textWrapping"/>
        <w:t xml:space="preserve">от 18 декабря 2023 г. № 953/2116 «Об утверждении единого расписания </w:t>
        <w:br w:type="textWrapping"/>
        <w:t xml:space="preserve">и продолжительности проведения единого государственного экзамена </w:t>
        <w:br w:type="textWrapping"/>
        <w:t xml:space="preserve">по каждому учебному предмету, требований к использованию средств обучения и воспитания при его проведении в 2024 году», от 18 декабря 2023 г. № 954/2117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 и от 18 декабря 2023 г. № 955/2118 </w:t>
        <w:br w:type="textWrapping"/>
        <w:t xml:space="preserve"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</w:t>
      </w:r>
    </w:p>
    <w:p w:rsidR="00000000" w:rsidDel="00000000" w:rsidP="00000000" w:rsidRDefault="00000000" w:rsidRPr="00000000" w14:paraId="0000002E">
      <w:pPr>
        <w:spacing w:line="276" w:lineRule="auto"/>
        <w:ind w:firstLine="709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пункте 1 приказа Министерства просвещения Российской Федерации </w:t>
        <w:br w:type="textWrapping"/>
        <w:t xml:space="preserve">и Федеральной службы по надзору в сфере образования и науки от 18 декабря 2023 г. № 953/2116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</w:t>
        <w:br w:type="textWrapping"/>
        <w:t xml:space="preserve">в 2024 году» (зарегистрирован Министерством юстиции Российской Федерации </w:t>
        <w:br w:type="textWrapping"/>
        <w:t xml:space="preserve">29 декабря 2023 г., регистрационный № 76764):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подпункты 1.1 и 1.2 изложить в следующей редакции: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«1.1. Для лиц, указанных в пунктах 6, 8 и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  <w:br w:type="textWrapping"/>
        <w:t xml:space="preserve">и науки от 4 апреля 2023 г. № 233/552 (зарегистрирован Министерством юстиции Российской Федерации 15 мая 2023 г., регистрационный № 73314) (далее – Порядок проведения ГИА), за исключением выпускников прошлых лет: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 мая (четверг) – география, литература, химия;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 мая (вторник) – русский язык;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 мая (пятница) – ЕГЭ по математике базового уровня, ЕГЭ по математике профильного уровня;</w:t>
      </w:r>
    </w:p>
    <w:p w:rsidR="00000000" w:rsidDel="00000000" w:rsidP="00000000" w:rsidRDefault="00000000" w:rsidRPr="00000000" w14:paraId="00000035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июня (вторник) – обществознание, физика;</w:t>
      </w:r>
    </w:p>
    <w:p w:rsidR="00000000" w:rsidDel="00000000" w:rsidP="00000000" w:rsidRDefault="00000000" w:rsidRPr="00000000" w14:paraId="00000036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 июня (пятница) – иностранные языки (английский, испанский, китайский, немецкий, французский) (устная часть), информатика;</w:t>
      </w:r>
    </w:p>
    <w:p w:rsidR="00000000" w:rsidDel="00000000" w:rsidP="00000000" w:rsidRDefault="00000000" w:rsidRPr="00000000" w14:paraId="00000037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 июня (суббота) – иностранные языки (английский, испанский, китайский, немецкий, французский) (устная часть), информатика;</w:t>
      </w:r>
    </w:p>
    <w:p w:rsidR="00000000" w:rsidDel="00000000" w:rsidP="00000000" w:rsidRDefault="00000000" w:rsidRPr="00000000" w14:paraId="00000038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 июня (вторник) – биология, иностранные языки (английский, испанский, китайский, немецкий, французский) (письменная часть), история.</w:t>
      </w:r>
    </w:p>
    <w:p w:rsidR="00000000" w:rsidDel="00000000" w:rsidP="00000000" w:rsidRDefault="00000000" w:rsidRPr="00000000" w14:paraId="00000039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1.2. Для лиц, указанных в пунктах 49, 55 и 93 Порядка проведения ГИА:</w:t>
      </w:r>
    </w:p>
    <w:p w:rsidR="00000000" w:rsidDel="00000000" w:rsidP="00000000" w:rsidRDefault="00000000" w:rsidRPr="00000000" w14:paraId="0000003A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 апреля (понедельник) – русский язык;</w:t>
      </w:r>
    </w:p>
    <w:p w:rsidR="00000000" w:rsidDel="00000000" w:rsidP="00000000" w:rsidRDefault="00000000" w:rsidRPr="00000000" w14:paraId="0000003B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 апреля (четверг) – ЕГЭ по математике базового уровня, ЕГЭ по математике профильного уровня;</w:t>
      </w:r>
    </w:p>
    <w:p w:rsidR="00000000" w:rsidDel="00000000" w:rsidP="00000000" w:rsidRDefault="00000000" w:rsidRPr="00000000" w14:paraId="0000003C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19 апреля (пятница) – биология, иностранные языки (английский, испанский, китайский, немецкий, французский) (письменная часть), литература, обществознание, физика;</w:t>
      </w:r>
    </w:p>
    <w:p w:rsidR="00000000" w:rsidDel="00000000" w:rsidP="00000000" w:rsidRDefault="00000000" w:rsidRPr="00000000" w14:paraId="0000003D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22 апреля (понедельник) – география, иностранные языки (английский, испанский, китайский, немецкий, французский) (устная часть), информатика, история, химия;</w:t>
      </w:r>
    </w:p>
    <w:p w:rsidR="00000000" w:rsidDel="00000000" w:rsidP="00000000" w:rsidRDefault="00000000" w:rsidRPr="00000000" w14:paraId="0000003E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 июня (четверг) – география, литература, обществознание, физика;</w:t>
      </w:r>
    </w:p>
    <w:p w:rsidR="00000000" w:rsidDel="00000000" w:rsidP="00000000" w:rsidRDefault="00000000" w:rsidRPr="00000000" w14:paraId="0000003F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 июня (понедельник) – русский язык;</w:t>
      </w:r>
    </w:p>
    <w:p w:rsidR="00000000" w:rsidDel="00000000" w:rsidP="00000000" w:rsidRDefault="00000000" w:rsidRPr="00000000" w14:paraId="00000040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 июня (вторник) – иностранные языки (английский, испанский, китайский, немецкий, французский) (устная часть), история, химия;</w:t>
      </w:r>
    </w:p>
    <w:p w:rsidR="00000000" w:rsidDel="00000000" w:rsidP="00000000" w:rsidRDefault="00000000" w:rsidRPr="00000000" w14:paraId="00000041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19 июня (среда) – биология, иностранные языки (английский, испанский, китайский, немецкий, французский) (письменная часть), информатика;</w:t>
      </w:r>
    </w:p>
    <w:p w:rsidR="00000000" w:rsidDel="00000000" w:rsidP="00000000" w:rsidRDefault="00000000" w:rsidRPr="00000000" w14:paraId="00000042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 июня (четверг) – ЕГЭ по математике базового уровня, ЕГЭ по математике профильного уровня;</w:t>
      </w:r>
    </w:p>
    <w:p w:rsidR="00000000" w:rsidDel="00000000" w:rsidP="00000000" w:rsidRDefault="00000000" w:rsidRPr="00000000" w14:paraId="00000043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 июня (пятница) – по всем учебным предметам;</w:t>
      </w:r>
    </w:p>
    <w:p w:rsidR="00000000" w:rsidDel="00000000" w:rsidP="00000000" w:rsidRDefault="00000000" w:rsidRPr="00000000" w14:paraId="00000044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23 сентября (понедельник) – ЕГЭ по математике базового уровня, русский язык.»;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подпункт 1.4 изложить в следующей редакции:</w:t>
      </w:r>
    </w:p>
    <w:p w:rsidR="00000000" w:rsidDel="00000000" w:rsidP="00000000" w:rsidRDefault="00000000" w:rsidRPr="00000000" w14:paraId="00000046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«1.4. Для лиц, указанных в пункте 51 Порядка проведения ГИА:</w:t>
      </w:r>
    </w:p>
    <w:p w:rsidR="00000000" w:rsidDel="00000000" w:rsidP="00000000" w:rsidRDefault="00000000" w:rsidRPr="00000000" w14:paraId="00000047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 июня (четверг) – география, литература, обществознание, физика;</w:t>
      </w:r>
    </w:p>
    <w:p w:rsidR="00000000" w:rsidDel="00000000" w:rsidP="00000000" w:rsidRDefault="00000000" w:rsidRPr="00000000" w14:paraId="00000048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17 июня (понедельник) – русский язык;</w:t>
      </w:r>
    </w:p>
    <w:p w:rsidR="00000000" w:rsidDel="00000000" w:rsidP="00000000" w:rsidRDefault="00000000" w:rsidRPr="00000000" w14:paraId="00000049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 июня (вторник) – иностранные языки (английский, испанский, китайский, немецкий, французский) (устная часть), история, химия;</w:t>
      </w:r>
    </w:p>
    <w:p w:rsidR="00000000" w:rsidDel="00000000" w:rsidP="00000000" w:rsidRDefault="00000000" w:rsidRPr="00000000" w14:paraId="0000004A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19 июня (среда) – биология, иностранные языки (английский, испанский, китайский, немецкий, французский) (письменная часть), информатика;</w:t>
      </w:r>
    </w:p>
    <w:p w:rsidR="00000000" w:rsidDel="00000000" w:rsidP="00000000" w:rsidRDefault="00000000" w:rsidRPr="00000000" w14:paraId="0000004B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 июня (четверг) – ЕГЭ по математике профильного уровня;</w:t>
      </w:r>
    </w:p>
    <w:p w:rsidR="00000000" w:rsidDel="00000000" w:rsidP="00000000" w:rsidRDefault="00000000" w:rsidRPr="00000000" w14:paraId="0000004C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 июня (пятница) – по всем учебным предметам.»;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дополнить подпунктом 1.6 следующего содержания: </w:t>
      </w:r>
    </w:p>
    <w:p w:rsidR="00000000" w:rsidDel="00000000" w:rsidP="00000000" w:rsidRDefault="00000000" w:rsidRPr="00000000" w14:paraId="0000004E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«1.6. Для лиц, указанных в пункте 97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1 </w:t>
      </w:r>
      <w:r w:rsidDel="00000000" w:rsidR="00000000" w:rsidRPr="00000000">
        <w:rPr>
          <w:sz w:val="28"/>
          <w:szCs w:val="28"/>
          <w:rtl w:val="0"/>
        </w:rPr>
        <w:t xml:space="preserve">Порядка проведения ГИА:</w:t>
      </w:r>
    </w:p>
    <w:p w:rsidR="00000000" w:rsidDel="00000000" w:rsidP="00000000" w:rsidRDefault="00000000" w:rsidRPr="00000000" w14:paraId="0000004F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июля (четверг) – иностранные языки (английский, испанский, китайский, немецкий, французский) (письменная часть), информатика, обществознание, русский язык, физика, химия;</w:t>
      </w:r>
    </w:p>
    <w:p w:rsidR="00000000" w:rsidDel="00000000" w:rsidP="00000000" w:rsidRDefault="00000000" w:rsidRPr="00000000" w14:paraId="00000050">
      <w:pPr>
        <w:spacing w:line="276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июля (пятница) – биология, география, ЕГЭ по математике базового уровня, ЕГЭ по математике профильного уровня, иностранные языки (английский, испанский, китайский, немецкий, французский) (устная часть), история, литература.». 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подпункте 1.1 пункта 1 приказа Министерства просвещения Российской Федерации и Федеральной службы по надзору в сфере образования и науки </w:t>
        <w:br w:type="textWrapping"/>
        <w:t xml:space="preserve">от 18 декабря 2023 г. № 954/2117 «Об утверждении единого расписания </w:t>
        <w:br w:type="textWrapping"/>
        <w:t xml:space="preserve">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2024 году» слова «11 июня (вторник)» заменить словами </w:t>
        <w:br w:type="textWrapping"/>
        <w:t xml:space="preserve">«10 июня (понедельник)».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приказе Министерства просвещения Российской Федерации </w:t>
        <w:br w:type="textWrapping"/>
        <w:t xml:space="preserve">и Федеральной службы по надзору в сфере образования и науки от 18 декабря 2023 г. № 955/2118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 (зарегистрирован Министерством юстиции Российской Федерации 29 декабря 2023 г., регистрационный № 76766):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подпункте 1.1 пункта 1 слова «11 июня (вторник)» заменить словами </w:t>
        <w:br w:type="textWrapping"/>
        <w:t xml:space="preserve">«10 июня (понедельник)»;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подпункт 2.2 пункта 2 изложить в следующей редакции:</w:t>
      </w:r>
    </w:p>
    <w:p w:rsidR="00000000" w:rsidDel="00000000" w:rsidP="00000000" w:rsidRDefault="00000000" w:rsidRPr="00000000" w14:paraId="0000005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«2.2. Для лиц, указанных в пунктах 49, 55 и 93 Порядка проведения ГИА-11:</w:t>
      </w:r>
    </w:p>
    <w:p w:rsidR="00000000" w:rsidDel="00000000" w:rsidP="00000000" w:rsidRDefault="00000000" w:rsidRPr="00000000" w14:paraId="0000005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15 апреля (понедельник) – русский язык;</w:t>
      </w:r>
    </w:p>
    <w:p w:rsidR="00000000" w:rsidDel="00000000" w:rsidP="00000000" w:rsidRDefault="00000000" w:rsidRPr="00000000" w14:paraId="000000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18 апреля (четверг) – математика;</w:t>
      </w:r>
    </w:p>
    <w:p w:rsidR="00000000" w:rsidDel="00000000" w:rsidP="00000000" w:rsidRDefault="00000000" w:rsidRPr="00000000" w14:paraId="0000005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17 июня (понедельник) – русский язык;</w:t>
      </w:r>
    </w:p>
    <w:p w:rsidR="00000000" w:rsidDel="00000000" w:rsidP="00000000" w:rsidRDefault="00000000" w:rsidRPr="00000000" w14:paraId="0000005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 июня (четверг) – математика;</w:t>
      </w:r>
    </w:p>
    <w:p w:rsidR="00000000" w:rsidDel="00000000" w:rsidP="00000000" w:rsidRDefault="00000000" w:rsidRPr="00000000" w14:paraId="0000005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23 сентября (понедельник) – математика, русский язык.».</w:t>
      </w:r>
    </w:p>
    <w:sectPr>
      <w:headerReference r:id="rId8" w:type="first"/>
      <w:type w:val="nextPage"/>
      <w:pgSz w:h="16838" w:w="11906" w:orient="portrait"/>
      <w:pgMar w:bottom="851" w:top="1134" w:left="1134" w:right="567" w:header="720" w:footer="40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Journal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